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56" w:rsidRDefault="003C0B64" w:rsidP="00E71756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五年級數學學力測驗命題範圍</w:t>
      </w:r>
      <w:r w:rsidR="00E71756" w:rsidRPr="0029165E">
        <w:rPr>
          <w:rFonts w:ascii="標楷體" w:eastAsia="標楷體" w:hAnsi="標楷體" w:hint="eastAsia"/>
          <w:b/>
          <w:sz w:val="32"/>
          <w:szCs w:val="32"/>
        </w:rPr>
        <w:t>說明</w:t>
      </w:r>
    </w:p>
    <w:p w:rsidR="00E71756" w:rsidRPr="00373E8B" w:rsidRDefault="00E71756" w:rsidP="00E7175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壹.</w:t>
      </w:r>
      <w:r w:rsidRPr="00373E8B">
        <w:rPr>
          <w:rFonts w:ascii="標楷體" w:eastAsia="標楷體" w:hAnsi="標楷體" w:hint="eastAsia"/>
          <w:b/>
          <w:sz w:val="28"/>
          <w:szCs w:val="28"/>
        </w:rPr>
        <w:t>題</w:t>
      </w:r>
      <w:r w:rsidR="003C0B64">
        <w:rPr>
          <w:rFonts w:ascii="標楷體" w:eastAsia="標楷體" w:hAnsi="標楷體" w:hint="eastAsia"/>
          <w:b/>
          <w:sz w:val="28"/>
          <w:szCs w:val="28"/>
        </w:rPr>
        <w:t>數與題</w:t>
      </w:r>
      <w:r w:rsidRPr="00373E8B">
        <w:rPr>
          <w:rFonts w:ascii="標楷體" w:eastAsia="標楷體" w:hAnsi="標楷體" w:hint="eastAsia"/>
          <w:b/>
          <w:sz w:val="28"/>
          <w:szCs w:val="28"/>
        </w:rPr>
        <w:t>型說明：</w:t>
      </w:r>
    </w:p>
    <w:p w:rsidR="00E71756" w:rsidRDefault="003C0B64" w:rsidP="003C0B64">
      <w:pPr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本次</w:t>
      </w:r>
      <w:r w:rsidR="00E71756" w:rsidRPr="00E71756">
        <w:rPr>
          <w:rFonts w:ascii="標楷體" w:eastAsia="標楷體" w:hAnsi="標楷體" w:hint="eastAsia"/>
        </w:rPr>
        <w:t>數學</w:t>
      </w:r>
      <w:r>
        <w:rPr>
          <w:rFonts w:ascii="標楷體" w:eastAsia="標楷體" w:hAnsi="標楷體" w:hint="eastAsia"/>
        </w:rPr>
        <w:t>學力測驗，測驗時間為40分鐘，共25題，</w:t>
      </w:r>
      <w:r w:rsidR="00E71756" w:rsidRPr="00E71756">
        <w:rPr>
          <w:rFonts w:ascii="標楷體" w:eastAsia="標楷體" w:hAnsi="標楷體" w:hint="eastAsia"/>
        </w:rPr>
        <w:t>題型統一為「選擇題」，答案的選項為「4</w:t>
      </w:r>
      <w:r w:rsidR="00E71756">
        <w:rPr>
          <w:rFonts w:ascii="標楷體" w:eastAsia="標楷體" w:hAnsi="標楷體" w:hint="eastAsia"/>
        </w:rPr>
        <w:t>項」。</w:t>
      </w:r>
    </w:p>
    <w:p w:rsidR="007F26D2" w:rsidRDefault="00E71756" w:rsidP="00E7175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貳.</w:t>
      </w:r>
      <w:r w:rsidR="007F26D2">
        <w:rPr>
          <w:rFonts w:ascii="標楷體" w:eastAsia="標楷體" w:hAnsi="標楷體" w:hint="eastAsia"/>
          <w:b/>
          <w:sz w:val="28"/>
          <w:szCs w:val="28"/>
        </w:rPr>
        <w:t>題</w:t>
      </w:r>
      <w:r w:rsidR="003C0B64">
        <w:rPr>
          <w:rFonts w:ascii="標楷體" w:eastAsia="標楷體" w:hAnsi="標楷體" w:hint="eastAsia"/>
          <w:b/>
          <w:sz w:val="28"/>
          <w:szCs w:val="28"/>
        </w:rPr>
        <w:t>型</w:t>
      </w:r>
      <w:r w:rsidR="007F26D2">
        <w:rPr>
          <w:rFonts w:ascii="標楷體" w:eastAsia="標楷體" w:hAnsi="標楷體" w:hint="eastAsia"/>
          <w:b/>
          <w:sz w:val="28"/>
          <w:szCs w:val="28"/>
        </w:rPr>
        <w:t>範圍：</w:t>
      </w:r>
    </w:p>
    <w:p w:rsidR="00C14DB3" w:rsidRPr="00C14DB3" w:rsidRDefault="007F26D2" w:rsidP="00C14DB3">
      <w:pPr>
        <w:ind w:leftChars="1" w:left="283" w:hangingChars="117" w:hanging="28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1.題</w:t>
      </w:r>
      <w:r w:rsidR="003C0B64">
        <w:rPr>
          <w:rFonts w:ascii="標楷體" w:eastAsia="標楷體" w:hAnsi="標楷體" w:hint="eastAsia"/>
        </w:rPr>
        <w:t>型</w:t>
      </w:r>
      <w:r>
        <w:rPr>
          <w:rFonts w:ascii="標楷體" w:eastAsia="標楷體" w:hAnsi="標楷體" w:hint="eastAsia"/>
        </w:rPr>
        <w:t>範圍</w:t>
      </w:r>
      <w:r w:rsidR="003C0B64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104學年上學期到下學期第一單元各家版本相關單元</w:t>
      </w:r>
      <w:r w:rsidR="003C0B64">
        <w:rPr>
          <w:rFonts w:ascii="標楷體" w:eastAsia="標楷體" w:hAnsi="標楷體" w:hint="eastAsia"/>
        </w:rPr>
        <w:t>本縣五年級學生</w:t>
      </w:r>
      <w:r>
        <w:rPr>
          <w:rFonts w:ascii="標楷體" w:eastAsia="標楷體" w:hAnsi="標楷體" w:hint="eastAsia"/>
        </w:rPr>
        <w:t>共</w:t>
      </w:r>
      <w:r w:rsidR="003C0B64">
        <w:rPr>
          <w:rFonts w:ascii="標楷體" w:eastAsia="標楷體" w:hAnsi="標楷體" w:hint="eastAsia"/>
        </w:rPr>
        <w:t>同學過</w:t>
      </w:r>
      <w:r>
        <w:rPr>
          <w:rFonts w:ascii="標楷體" w:eastAsia="標楷體" w:hAnsi="標楷體" w:hint="eastAsia"/>
        </w:rPr>
        <w:t>的</w:t>
      </w:r>
      <w:r w:rsidR="003C0B64">
        <w:rPr>
          <w:rFonts w:ascii="標楷體" w:eastAsia="標楷體" w:hAnsi="標楷體" w:hint="eastAsia"/>
        </w:rPr>
        <w:t>單元</w:t>
      </w:r>
      <w:r>
        <w:rPr>
          <w:rFonts w:ascii="標楷體" w:eastAsia="標楷體" w:hAnsi="標楷體" w:hint="eastAsia"/>
        </w:rPr>
        <w:t>數學，包含：整數</w:t>
      </w:r>
      <w:r w:rsidR="00C14DB3" w:rsidRPr="00C14DB3">
        <w:rPr>
          <w:rFonts w:ascii="標楷體" w:eastAsia="標楷體" w:hAnsi="標楷體" w:hint="eastAsia"/>
        </w:rPr>
        <w:t>乘除法、因倍數、整數四則運算、異分母的加減、面積(平行四邊形、三角形、梯形)、多位小數加減、多邊形</w:t>
      </w:r>
    </w:p>
    <w:p w:rsidR="007F26D2" w:rsidRDefault="007F26D2" w:rsidP="00C14DB3">
      <w:pPr>
        <w:ind w:leftChars="1" w:left="283" w:hangingChars="117" w:hanging="281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</w:t>
      </w:r>
      <w:r w:rsidR="00C14DB3">
        <w:rPr>
          <w:rFonts w:ascii="標楷體" w:eastAsia="標楷體" w:hAnsi="標楷體" w:hint="eastAsia"/>
        </w:rPr>
        <w:t>97正綱</w:t>
      </w:r>
      <w:r w:rsidR="00C14DB3" w:rsidRPr="00C14DB3">
        <w:rPr>
          <w:rFonts w:ascii="標楷體" w:eastAsia="標楷體" w:hAnsi="標楷體" w:hint="eastAsia"/>
        </w:rPr>
        <w:t>五年級分年細目共32條(含相同2條)，</w:t>
      </w:r>
      <w:r w:rsidR="00C14DB3">
        <w:rPr>
          <w:rFonts w:ascii="標楷體" w:eastAsia="標楷體" w:hAnsi="標楷體" w:hint="eastAsia"/>
        </w:rPr>
        <w:t>對應</w:t>
      </w:r>
      <w:r w:rsidR="00C14DB3">
        <w:rPr>
          <w:rFonts w:ascii="標楷體" w:eastAsia="標楷體" w:hAnsi="標楷體" w:hint="eastAsia"/>
        </w:rPr>
        <w:t>上述單元</w:t>
      </w:r>
      <w:r w:rsidR="00C14DB3">
        <w:rPr>
          <w:rFonts w:ascii="標楷體" w:eastAsia="標楷體" w:hAnsi="標楷體" w:hint="eastAsia"/>
        </w:rPr>
        <w:t>，</w:t>
      </w:r>
      <w:r w:rsidR="00C14DB3" w:rsidRPr="00C14DB3">
        <w:rPr>
          <w:rFonts w:ascii="標楷體" w:eastAsia="標楷體" w:hAnsi="標楷體" w:hint="eastAsia"/>
        </w:rPr>
        <w:t>以下是</w:t>
      </w:r>
      <w:r w:rsidR="00C14DB3">
        <w:rPr>
          <w:rFonts w:ascii="標楷體" w:eastAsia="標楷體" w:hAnsi="標楷體" w:hint="eastAsia"/>
        </w:rPr>
        <w:t>本</w:t>
      </w:r>
      <w:r w:rsidR="00C14DB3" w:rsidRPr="00C14DB3">
        <w:rPr>
          <w:rFonts w:ascii="標楷體" w:eastAsia="標楷體" w:hAnsi="標楷體" w:hint="eastAsia"/>
        </w:rPr>
        <w:t>次</w:t>
      </w:r>
      <w:r w:rsidR="00C14DB3">
        <w:rPr>
          <w:rFonts w:ascii="標楷體" w:eastAsia="標楷體" w:hAnsi="標楷體" w:hint="eastAsia"/>
        </w:rPr>
        <w:t>數學</w:t>
      </w:r>
      <w:r w:rsidR="00C14DB3" w:rsidRPr="00C14DB3">
        <w:rPr>
          <w:rFonts w:ascii="標楷體" w:eastAsia="標楷體" w:hAnsi="標楷體" w:hint="eastAsia"/>
        </w:rPr>
        <w:t>學力測驗範圍共14條</w:t>
      </w:r>
      <w:r w:rsidR="00C14DB3">
        <w:rPr>
          <w:rFonts w:ascii="標楷體" w:eastAsia="標楷體" w:hAnsi="標楷體" w:hint="eastAsia"/>
        </w:rPr>
        <w:t>：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7370"/>
      </w:tblGrid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5-n-01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能熟練整數乘、除的直式計算。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3C0B64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5-n-02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 w:hint="eastAsia"/>
              </w:rPr>
              <w:t>能在具體情境中，解決三步驟問題，並能併式計算。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5-n-03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能熟練整數四則混合計算。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5-n-04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能理解因數和倍數。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5-n-05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能認識兩數的公因數、公倍數、最大公因數與最小公倍數。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5-n-06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能用約分、擴分處理等值分數的換算。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5-n-07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能用通分作簡單異分母分數的比較與加減。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5-n-10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能認識多位小數，並做比較與加、減與整數倍的計算，以及解決生活中的問題。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5-n-18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能運用切割重組，理解三角形、平行四邊形與梯形的面積公式。（同5-s-05）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5-s-01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能透過操作，理解三角形三內角和為180度。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5-s-02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能透過操作，理解三角形任意兩邊和大於第三邊。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5-a-01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能在具體情境中，理解乘法對加法的分配律，並運用於簡化心算。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5-a-02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能在具體情境中，理解先乘再除與先除再乘的結果相同，也理解連除兩數相當於除以此兩數之積。</w:t>
            </w:r>
          </w:p>
        </w:tc>
      </w:tr>
      <w:tr w:rsidR="003C0B64" w:rsidRPr="007F26D2" w:rsidTr="003C0B64">
        <w:trPr>
          <w:cantSplit/>
          <w:trHeight w:val="454"/>
        </w:trPr>
        <w:tc>
          <w:tcPr>
            <w:tcW w:w="667" w:type="pct"/>
            <w:shd w:val="clear" w:color="auto" w:fill="FBD4B4"/>
            <w:vAlign w:val="center"/>
          </w:tcPr>
          <w:p w:rsidR="007F26D2" w:rsidRPr="007F26D2" w:rsidRDefault="007F26D2" w:rsidP="003C0B64">
            <w:pPr>
              <w:ind w:left="62" w:right="62"/>
              <w:jc w:val="center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5-a-03</w:t>
            </w:r>
          </w:p>
        </w:tc>
        <w:tc>
          <w:tcPr>
            <w:tcW w:w="4333" w:type="pct"/>
            <w:vAlign w:val="center"/>
          </w:tcPr>
          <w:p w:rsidR="007F26D2" w:rsidRPr="007F26D2" w:rsidRDefault="007F26D2" w:rsidP="003C0B64">
            <w:pPr>
              <w:ind w:left="62" w:right="62"/>
              <w:rPr>
                <w:rFonts w:ascii="標楷體" w:eastAsia="標楷體" w:hAnsi="標楷體"/>
              </w:rPr>
            </w:pPr>
            <w:r w:rsidRPr="007F26D2">
              <w:rPr>
                <w:rFonts w:ascii="標楷體" w:eastAsia="標楷體" w:hAnsi="標楷體"/>
              </w:rPr>
              <w:t>能熟練運用四則運算的性質，做整數四則混合計算。</w:t>
            </w:r>
          </w:p>
        </w:tc>
      </w:tr>
    </w:tbl>
    <w:p w:rsidR="00BF6A04" w:rsidRPr="008B3C06" w:rsidRDefault="00BF6A04" w:rsidP="008B3C06">
      <w:pPr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sectPr w:rsidR="00BF6A04" w:rsidRPr="008B3C06" w:rsidSect="009C3C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F4" w:rsidRDefault="008410F4" w:rsidP="007833FC">
      <w:r>
        <w:separator/>
      </w:r>
    </w:p>
  </w:endnote>
  <w:endnote w:type="continuationSeparator" w:id="0">
    <w:p w:rsidR="008410F4" w:rsidRDefault="008410F4" w:rsidP="0078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F4" w:rsidRDefault="008410F4" w:rsidP="007833FC">
      <w:r>
        <w:separator/>
      </w:r>
    </w:p>
  </w:footnote>
  <w:footnote w:type="continuationSeparator" w:id="0">
    <w:p w:rsidR="008410F4" w:rsidRDefault="008410F4" w:rsidP="0078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C38"/>
    <w:rsid w:val="00010EA9"/>
    <w:rsid w:val="002D3407"/>
    <w:rsid w:val="003C0B64"/>
    <w:rsid w:val="00547CD0"/>
    <w:rsid w:val="0065293F"/>
    <w:rsid w:val="007833FC"/>
    <w:rsid w:val="00795562"/>
    <w:rsid w:val="007F26D2"/>
    <w:rsid w:val="008410F4"/>
    <w:rsid w:val="008557F7"/>
    <w:rsid w:val="008B3C06"/>
    <w:rsid w:val="009C3C38"/>
    <w:rsid w:val="00BF6A04"/>
    <w:rsid w:val="00C14DB3"/>
    <w:rsid w:val="00E7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45A8BB-436B-4144-BA36-3E94A380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C3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10EA9"/>
    <w:pPr>
      <w:keepNext/>
      <w:spacing w:beforeLines="100" w:before="100" w:afterLines="25" w:after="25"/>
      <w:outlineLvl w:val="0"/>
    </w:pPr>
    <w:rPr>
      <w:rFonts w:ascii="Arial" w:eastAsia="標楷體" w:hAnsi="Arial"/>
      <w:bCs/>
      <w:kern w:val="52"/>
      <w:sz w:val="28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010EA9"/>
    <w:rPr>
      <w:rFonts w:ascii="Arial" w:eastAsia="標楷體" w:hAnsi="Arial"/>
      <w:bCs/>
      <w:kern w:val="52"/>
      <w:sz w:val="28"/>
      <w:szCs w:val="52"/>
    </w:rPr>
  </w:style>
  <w:style w:type="paragraph" w:styleId="a0">
    <w:name w:val="Body Text"/>
    <w:basedOn w:val="a"/>
    <w:link w:val="a4"/>
    <w:uiPriority w:val="99"/>
    <w:semiHidden/>
    <w:unhideWhenUsed/>
    <w:rsid w:val="00010EA9"/>
    <w:pPr>
      <w:spacing w:after="120"/>
    </w:pPr>
  </w:style>
  <w:style w:type="character" w:customStyle="1" w:styleId="a4">
    <w:name w:val="本文 字元"/>
    <w:basedOn w:val="a1"/>
    <w:link w:val="a0"/>
    <w:uiPriority w:val="99"/>
    <w:semiHidden/>
    <w:rsid w:val="00010EA9"/>
    <w:rPr>
      <w:kern w:val="2"/>
      <w:sz w:val="24"/>
      <w:szCs w:val="24"/>
    </w:rPr>
  </w:style>
  <w:style w:type="paragraph" w:styleId="a5">
    <w:name w:val="Title"/>
    <w:basedOn w:val="a"/>
    <w:next w:val="a0"/>
    <w:link w:val="a6"/>
    <w:qFormat/>
    <w:rsid w:val="00010EA9"/>
    <w:pPr>
      <w:spacing w:afterLines="100" w:after="100"/>
      <w:jc w:val="center"/>
      <w:outlineLvl w:val="0"/>
    </w:pPr>
    <w:rPr>
      <w:rFonts w:eastAsia="標楷體" w:cs="Arial"/>
      <w:b/>
      <w:bCs/>
      <w:sz w:val="32"/>
      <w:szCs w:val="32"/>
    </w:rPr>
  </w:style>
  <w:style w:type="character" w:customStyle="1" w:styleId="a6">
    <w:name w:val="標題 字元"/>
    <w:basedOn w:val="a1"/>
    <w:link w:val="a5"/>
    <w:rsid w:val="00010EA9"/>
    <w:rPr>
      <w:rFonts w:eastAsia="標楷體" w:cs="Arial"/>
      <w:b/>
      <w:bCs/>
      <w:kern w:val="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783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7833FC"/>
    <w:rPr>
      <w:kern w:val="2"/>
    </w:rPr>
  </w:style>
  <w:style w:type="paragraph" w:styleId="a9">
    <w:name w:val="footer"/>
    <w:basedOn w:val="a"/>
    <w:link w:val="aa"/>
    <w:uiPriority w:val="99"/>
    <w:unhideWhenUsed/>
    <w:rsid w:val="00783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7833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2016-01-13T00:21:00Z</dcterms:created>
  <dcterms:modified xsi:type="dcterms:W3CDTF">2016-02-15T06:56:00Z</dcterms:modified>
</cp:coreProperties>
</file>